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EC4C" w14:textId="77777777" w:rsidR="00C85788" w:rsidRPr="0069018B" w:rsidRDefault="00C85788" w:rsidP="00E016D4">
      <w:pPr>
        <w:pStyle w:val="NormalnyWeb"/>
        <w:shd w:val="clear" w:color="auto" w:fill="1257B8"/>
        <w:spacing w:before="0" w:beforeAutospacing="0" w:after="0" w:afterAutospacing="0" w:line="276" w:lineRule="auto"/>
        <w:jc w:val="center"/>
        <w:rPr>
          <w:rFonts w:cs="Arial"/>
          <w:sz w:val="20"/>
          <w:szCs w:val="20"/>
        </w:rPr>
      </w:pPr>
      <w:r w:rsidRPr="0069018B">
        <w:rPr>
          <w:rFonts w:cs="Arial"/>
          <w:b/>
          <w:bCs/>
          <w:sz w:val="20"/>
          <w:szCs w:val="20"/>
        </w:rPr>
        <w:t>ZAPYTANIE OFERTOWE</w:t>
      </w:r>
    </w:p>
    <w:p w14:paraId="3B5D2535" w14:textId="77777777" w:rsidR="00C85788" w:rsidRPr="0069018B"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sz w:val="20"/>
          <w:szCs w:val="20"/>
        </w:rPr>
      </w:pPr>
    </w:p>
    <w:p w14:paraId="3EF6E895" w14:textId="7E1041A9" w:rsidR="00CE506C" w:rsidRPr="00127A6C"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highlight w:val="yellow"/>
        </w:rPr>
      </w:pPr>
      <w:r w:rsidRPr="0069018B">
        <w:rPr>
          <w:rFonts w:cs="Arial"/>
          <w:b w:val="0"/>
          <w:sz w:val="20"/>
          <w:szCs w:val="20"/>
        </w:rPr>
        <w:t>numer referencyjny postępowania: ZZP.261.ZO.</w:t>
      </w:r>
      <w:r w:rsidR="00127A6C">
        <w:rPr>
          <w:rFonts w:cs="Arial"/>
          <w:b w:val="0"/>
          <w:sz w:val="20"/>
          <w:szCs w:val="20"/>
        </w:rPr>
        <w:t>28</w:t>
      </w:r>
      <w:r w:rsidR="009110F6" w:rsidRPr="0069018B">
        <w:rPr>
          <w:rFonts w:cs="Arial"/>
          <w:b w:val="0"/>
          <w:sz w:val="20"/>
          <w:szCs w:val="20"/>
        </w:rPr>
        <w:t>.2020</w:t>
      </w:r>
      <w:r w:rsidR="00D444E0" w:rsidRPr="0069018B">
        <w:rPr>
          <w:rFonts w:cs="Arial"/>
          <w:b w:val="0"/>
          <w:sz w:val="20"/>
          <w:szCs w:val="20"/>
        </w:rPr>
        <w:tab/>
      </w:r>
      <w:r w:rsidR="00D444E0" w:rsidRPr="0069018B">
        <w:rPr>
          <w:rFonts w:cs="Arial"/>
          <w:b w:val="0"/>
          <w:sz w:val="20"/>
          <w:szCs w:val="20"/>
        </w:rPr>
        <w:tab/>
      </w:r>
      <w:r w:rsidR="00E016D4" w:rsidRPr="0069018B">
        <w:rPr>
          <w:rFonts w:cs="Arial"/>
          <w:b w:val="0"/>
          <w:sz w:val="20"/>
          <w:szCs w:val="20"/>
        </w:rPr>
        <w:t xml:space="preserve">    </w:t>
      </w:r>
      <w:r w:rsidR="00D444E0" w:rsidRPr="00A02B9E">
        <w:rPr>
          <w:rFonts w:cs="Arial"/>
          <w:b w:val="0"/>
          <w:sz w:val="20"/>
          <w:szCs w:val="20"/>
        </w:rPr>
        <w:t>Kraków</w:t>
      </w:r>
      <w:r w:rsidR="009110F6" w:rsidRPr="00A02B9E">
        <w:rPr>
          <w:rFonts w:cs="Arial"/>
          <w:b w:val="0"/>
          <w:sz w:val="20"/>
          <w:szCs w:val="20"/>
        </w:rPr>
        <w:t>,</w:t>
      </w:r>
      <w:r w:rsidR="001C4D5F" w:rsidRPr="00A02B9E">
        <w:rPr>
          <w:rFonts w:cs="Arial"/>
          <w:b w:val="0"/>
          <w:sz w:val="20"/>
          <w:szCs w:val="20"/>
        </w:rPr>
        <w:t xml:space="preserve"> </w:t>
      </w:r>
      <w:r w:rsidR="00A02B9E" w:rsidRPr="00A02B9E">
        <w:rPr>
          <w:rFonts w:cs="Arial"/>
          <w:b w:val="0"/>
          <w:sz w:val="20"/>
          <w:szCs w:val="20"/>
        </w:rPr>
        <w:t>14</w:t>
      </w:r>
      <w:r w:rsidR="001C4D5F" w:rsidRPr="00A02B9E">
        <w:rPr>
          <w:rFonts w:cs="Arial"/>
          <w:b w:val="0"/>
          <w:sz w:val="20"/>
          <w:szCs w:val="20"/>
        </w:rPr>
        <w:t>.</w:t>
      </w:r>
      <w:r w:rsidR="00A02B9E" w:rsidRPr="00A02B9E">
        <w:rPr>
          <w:rFonts w:cs="Arial"/>
          <w:b w:val="0"/>
          <w:sz w:val="20"/>
          <w:szCs w:val="20"/>
        </w:rPr>
        <w:t>09</w:t>
      </w:r>
      <w:r w:rsidR="009110F6" w:rsidRPr="00A02B9E">
        <w:rPr>
          <w:rFonts w:cs="Arial"/>
          <w:b w:val="0"/>
          <w:sz w:val="20"/>
          <w:szCs w:val="20"/>
        </w:rPr>
        <w:t>.2020</w:t>
      </w:r>
      <w:r w:rsidR="00D444E0" w:rsidRPr="00A02B9E">
        <w:rPr>
          <w:rFonts w:cs="Arial"/>
          <w:b w:val="0"/>
          <w:sz w:val="20"/>
          <w:szCs w:val="20"/>
        </w:rPr>
        <w:t xml:space="preserve">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7292A772"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75224A">
        <w:rPr>
          <w:rFonts w:eastAsia="Calibri" w:cs="Arial"/>
          <w:b/>
        </w:rPr>
        <w:t>gospodarczych</w:t>
      </w:r>
      <w:r w:rsidR="00786C95" w:rsidRPr="00554340">
        <w:rPr>
          <w:rFonts w:eastAsia="Calibri" w:cs="Arial"/>
        </w:rPr>
        <w:t xml:space="preserve"> dla Polskiego Wydawnictwa Muzycznego</w:t>
      </w:r>
      <w:r w:rsidR="00F51E73">
        <w:rPr>
          <w:rFonts w:eastAsia="Calibri" w:cs="Arial"/>
        </w:rPr>
        <w:t xml:space="preserve"> w </w:t>
      </w:r>
      <w:r w:rsidR="00127A6C">
        <w:rPr>
          <w:rFonts w:eastAsia="Calibri" w:cs="Arial"/>
        </w:rPr>
        <w:t>Warszawie</w:t>
      </w:r>
      <w:r w:rsidR="00786C95" w:rsidRPr="00554340">
        <w:rPr>
          <w:rFonts w:eastAsia="Calibri" w:cs="Arial"/>
        </w:rPr>
        <w:t>.</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7DF05FDA"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 xml:space="preserve">artykułów </w:t>
      </w:r>
      <w:r w:rsidR="0075224A">
        <w:rPr>
          <w:rFonts w:cs="Arial"/>
          <w:sz w:val="20"/>
          <w:szCs w:val="20"/>
        </w:rPr>
        <w:t>gospodarczych</w:t>
      </w:r>
      <w:r w:rsidR="00786C95" w:rsidRPr="00554340">
        <w:rPr>
          <w:rFonts w:cs="Arial"/>
          <w:sz w:val="20"/>
          <w:szCs w:val="20"/>
        </w:rPr>
        <w:t xml:space="preserve"> dla Polskiego Wydawnictwa Muzycznego</w:t>
      </w:r>
      <w:r w:rsidR="00825EA0">
        <w:rPr>
          <w:rFonts w:cs="Arial"/>
          <w:sz w:val="20"/>
          <w:szCs w:val="20"/>
        </w:rPr>
        <w:t xml:space="preserve"> (w </w:t>
      </w:r>
      <w:r w:rsidR="0047095C">
        <w:rPr>
          <w:rFonts w:cs="Arial"/>
          <w:sz w:val="20"/>
          <w:szCs w:val="20"/>
        </w:rPr>
        <w:t>Warszawie</w:t>
      </w:r>
      <w:r w:rsidR="00825EA0">
        <w:rPr>
          <w:rFonts w:cs="Arial"/>
          <w:sz w:val="20"/>
          <w:szCs w:val="20"/>
        </w:rPr>
        <w:t>).</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2D447285"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w:t>
      </w:r>
      <w:r w:rsidR="00DB6282">
        <w:rPr>
          <w:rFonts w:cs="Arial"/>
          <w:sz w:val="20"/>
          <w:szCs w:val="20"/>
        </w:rPr>
        <w:t>netto</w:t>
      </w:r>
      <w:r w:rsidR="00072F87" w:rsidRPr="00554340">
        <w:rPr>
          <w:rFonts w:cs="Arial"/>
          <w:sz w:val="20"/>
          <w:szCs w:val="20"/>
        </w:rPr>
        <w:t xml:space="preserve"> </w:t>
      </w:r>
      <w:r w:rsidRPr="00554340">
        <w:rPr>
          <w:rFonts w:cs="Arial"/>
          <w:sz w:val="20"/>
          <w:szCs w:val="20"/>
        </w:rPr>
        <w:t xml:space="preserve">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77826404" w14:textId="77777777" w:rsidR="0069018B" w:rsidRPr="00554340" w:rsidRDefault="0069018B" w:rsidP="0069018B">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elektronicznej (skan podpisanych dokumentów)</w:t>
      </w:r>
      <w:r w:rsidRPr="00554340">
        <w:rPr>
          <w:rFonts w:cs="Arial"/>
          <w:sz w:val="20"/>
          <w:szCs w:val="20"/>
        </w:rPr>
        <w:t xml:space="preserve">, w terminie składania ofert, określonym w pkt V ZO. Wystarczające będzie przesłanie skanu oferty na adres email: </w:t>
      </w:r>
      <w:hyperlink r:id="rId8" w:history="1">
        <w:r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6A7E09EE"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BF6128">
        <w:rPr>
          <w:rFonts w:cs="Arial"/>
        </w:rPr>
        <w:t>,</w:t>
      </w:r>
      <w:r w:rsidR="00EC611F" w:rsidRPr="00554340">
        <w:rPr>
          <w:rFonts w:cs="Arial"/>
        </w:rPr>
        <w:t xml:space="preserve"> </w:t>
      </w:r>
      <w:r w:rsidRPr="00554340">
        <w:rPr>
          <w:rFonts w:cs="Arial"/>
        </w:rPr>
        <w:t>o który</w:t>
      </w:r>
      <w:r w:rsidR="00BF6128">
        <w:rPr>
          <w:rFonts w:cs="Arial"/>
        </w:rPr>
        <w:t>m</w:t>
      </w:r>
      <w:r w:rsidRPr="00554340">
        <w:rPr>
          <w:rFonts w:cs="Arial"/>
        </w:rPr>
        <w:t xml:space="preserve">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3D20A77B"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W przypadku podpisywania oferty lub załączników przez pełnomocnika pełnomocnictwo do reprezentowania Wykonawcy powinno być dołączone do oferty</w:t>
      </w:r>
      <w:r>
        <w:rPr>
          <w:rFonts w:cs="Arial"/>
        </w:rPr>
        <w:t>.</w:t>
      </w:r>
    </w:p>
    <w:p w14:paraId="28C5E0B8"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4A4AADD0"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DFADC88"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0BEB0A54"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52F7DF7A"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0A45368C" w14:textId="05B2A09F"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Oferta powinna zostać zatytułowana</w:t>
      </w:r>
      <w:r w:rsidRPr="00D67D7B">
        <w:rPr>
          <w:rFonts w:cs="Arial"/>
          <w:color w:val="FF0000"/>
        </w:rPr>
        <w:t>: „</w:t>
      </w:r>
      <w:r w:rsidRPr="00D67D7B">
        <w:rPr>
          <w:rFonts w:cs="Arial"/>
          <w:b/>
          <w:color w:val="FF0000"/>
        </w:rPr>
        <w:t xml:space="preserve">Oferta w postępowaniu na dostawę artykułów </w:t>
      </w:r>
      <w:r w:rsidR="00FA37A7">
        <w:rPr>
          <w:rFonts w:cs="Arial"/>
          <w:b/>
          <w:color w:val="FF0000"/>
        </w:rPr>
        <w:t>gospodarczych</w:t>
      </w:r>
      <w:r w:rsidRPr="00D67D7B">
        <w:rPr>
          <w:rFonts w:cs="Arial"/>
          <w:b/>
          <w:color w:val="FF0000"/>
        </w:rPr>
        <w:t xml:space="preserve"> – </w:t>
      </w:r>
      <w:r w:rsidRPr="00D67D7B">
        <w:rPr>
          <w:rFonts w:cs="Arial"/>
          <w:color w:val="FF0000"/>
        </w:rPr>
        <w:t>ZZP.261.ZO.</w:t>
      </w:r>
      <w:r w:rsidR="00380913">
        <w:rPr>
          <w:rFonts w:cs="Arial"/>
          <w:color w:val="FF0000"/>
        </w:rPr>
        <w:t>28.</w:t>
      </w:r>
      <w:r>
        <w:rPr>
          <w:rFonts w:cs="Arial"/>
          <w:color w:val="FF0000"/>
        </w:rPr>
        <w:t>2020</w:t>
      </w:r>
      <w:r w:rsidRPr="00D67D7B">
        <w:rPr>
          <w:rFonts w:cs="Arial"/>
          <w:color w:val="FF0000"/>
        </w:rPr>
        <w:t>”.</w:t>
      </w:r>
    </w:p>
    <w:p w14:paraId="1C4A4991" w14:textId="77777777" w:rsidR="0069018B" w:rsidRPr="00554340" w:rsidRDefault="0069018B" w:rsidP="0069018B">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2EA9CD9B" w14:textId="60A6868A" w:rsidR="00C85788" w:rsidRPr="001C4D5F" w:rsidRDefault="0069018B" w:rsidP="00E016D4">
      <w:pPr>
        <w:spacing w:line="276" w:lineRule="auto"/>
        <w:rPr>
          <w:rFonts w:cs="Arial"/>
          <w:b/>
          <w:bCs/>
        </w:rPr>
      </w:pPr>
      <w:r w:rsidRPr="0069018B">
        <w:rPr>
          <w:rFonts w:cs="Arial"/>
        </w:rPr>
        <w:t xml:space="preserve">Ofertę należy przesłać w formie elektronicznej (skan) na adres email: </w:t>
      </w:r>
      <w:r w:rsidRPr="0069018B">
        <w:rPr>
          <w:rFonts w:cs="Arial"/>
          <w:color w:val="FF0000"/>
        </w:rPr>
        <w:t xml:space="preserve">zamowienia_publiczne@pwm.com.pl </w:t>
      </w:r>
      <w:r w:rsidRPr="0069018B">
        <w:rPr>
          <w:rFonts w:cs="Arial"/>
        </w:rPr>
        <w:t xml:space="preserve">w nieprzekraczalnym </w:t>
      </w:r>
      <w:r w:rsidRPr="002558E5">
        <w:rPr>
          <w:rFonts w:cs="Arial"/>
        </w:rPr>
        <w:t xml:space="preserve">terminie do dnia </w:t>
      </w:r>
      <w:r w:rsidR="002558E5" w:rsidRPr="002558E5">
        <w:rPr>
          <w:rFonts w:cs="Arial"/>
          <w:b/>
          <w:bCs/>
        </w:rPr>
        <w:t>22</w:t>
      </w:r>
      <w:r w:rsidR="001C4D5F" w:rsidRPr="002558E5">
        <w:rPr>
          <w:rFonts w:cs="Arial"/>
          <w:b/>
          <w:bCs/>
        </w:rPr>
        <w:t>.</w:t>
      </w:r>
      <w:r w:rsidR="002558E5" w:rsidRPr="002558E5">
        <w:rPr>
          <w:rFonts w:cs="Arial"/>
          <w:b/>
          <w:bCs/>
        </w:rPr>
        <w:t>09</w:t>
      </w:r>
      <w:r w:rsidR="00CF0DDE" w:rsidRPr="002558E5">
        <w:rPr>
          <w:rFonts w:cs="Arial"/>
          <w:b/>
          <w:bCs/>
        </w:rPr>
        <w:t>.</w:t>
      </w:r>
      <w:r w:rsidRPr="002558E5">
        <w:rPr>
          <w:rFonts w:cs="Arial"/>
          <w:b/>
          <w:bCs/>
        </w:rPr>
        <w:t>2020 r. do godz. 11.00</w:t>
      </w:r>
    </w:p>
    <w:p w14:paraId="08AD7842" w14:textId="77777777" w:rsidR="00EB395B" w:rsidRPr="00554340" w:rsidRDefault="00EB395B" w:rsidP="00E016D4">
      <w:pPr>
        <w:spacing w:line="276" w:lineRule="auto"/>
        <w:rPr>
          <w:rFonts w:cs="Arial"/>
        </w:rPr>
      </w:pP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1C8673BB" w14:textId="49BD91B3" w:rsidR="00EB395B" w:rsidRDefault="00EB395B" w:rsidP="00E016D4">
      <w:pPr>
        <w:pStyle w:val="Akapitzlist"/>
        <w:numPr>
          <w:ilvl w:val="0"/>
          <w:numId w:val="32"/>
        </w:numPr>
        <w:suppressAutoHyphens/>
        <w:spacing w:before="0" w:after="200" w:line="276" w:lineRule="auto"/>
        <w:contextualSpacing w:val="0"/>
        <w:textAlignment w:val="baseline"/>
        <w:rPr>
          <w:rFonts w:cs="Arial"/>
        </w:rPr>
      </w:pPr>
      <w:r w:rsidRPr="00EB395B">
        <w:rPr>
          <w:rFonts w:cs="Arial"/>
        </w:rPr>
        <w:t>Podstawą do obliczenia ceny (na potrzeby porównania i oceny ofert) jest zakres zamówienia określony w formularzu cenowym oraz w opisie przedmiotu zamówienia. Ceny jednostkowe winny obejmować wszystkie koszty jakie poniesie Wykonawca z tytułu należytej realizacji przedmiotu zamówienia</w:t>
      </w:r>
    </w:p>
    <w:p w14:paraId="18E9BD7A" w14:textId="71FAF813"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w:t>
      </w:r>
      <w:r w:rsidR="00DB6282">
        <w:rPr>
          <w:rFonts w:cs="Arial"/>
        </w:rPr>
        <w:t>netto</w:t>
      </w:r>
      <w:r w:rsidRPr="00554340">
        <w:rPr>
          <w:rFonts w:cs="Arial"/>
        </w:rPr>
        <w:t xml:space="preserve">,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 xml:space="preserve">Zsumowana kwota </w:t>
      </w:r>
      <w:r w:rsidR="00DB6282">
        <w:rPr>
          <w:rFonts w:cs="Arial"/>
        </w:rPr>
        <w:t>netto</w:t>
      </w:r>
      <w:r w:rsidR="00AB58B5">
        <w:rPr>
          <w:rFonts w:cs="Arial"/>
        </w:rPr>
        <w:t xml:space="preserve"> stanowi jedynie podstawę porównania i oceny ofert.</w:t>
      </w:r>
    </w:p>
    <w:p w14:paraId="48849F2C" w14:textId="57AD21FD" w:rsidR="00EB395B" w:rsidRPr="00554340" w:rsidRDefault="00EB395B" w:rsidP="00EB395B">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Zamawiający zastrzega, że umowa </w:t>
      </w:r>
      <w:r w:rsidRPr="00A13A79">
        <w:rPr>
          <w:rFonts w:cs="Arial"/>
        </w:rPr>
        <w:t xml:space="preserve">zostanie zawarta na kwotę, jaką przewidział na realizację  przedmiotowego zamówienia w wysokości </w:t>
      </w:r>
      <w:r w:rsidR="00ED5B4F" w:rsidRPr="00A13A79">
        <w:rPr>
          <w:rFonts w:cs="Arial"/>
        </w:rPr>
        <w:t>5</w:t>
      </w:r>
      <w:r w:rsidR="00CF0DDE" w:rsidRPr="00A13A79">
        <w:rPr>
          <w:rFonts w:cs="Arial"/>
        </w:rPr>
        <w:t xml:space="preserve"> </w:t>
      </w:r>
      <w:r w:rsidR="00ED5B4F" w:rsidRPr="00A13A79">
        <w:rPr>
          <w:rFonts w:cs="Arial"/>
        </w:rPr>
        <w:t>000</w:t>
      </w:r>
      <w:r w:rsidR="00CF0DDE" w:rsidRPr="00A13A79">
        <w:rPr>
          <w:rFonts w:cs="Arial"/>
        </w:rPr>
        <w:t xml:space="preserve">,00 </w:t>
      </w:r>
      <w:r w:rsidRPr="00A13A79">
        <w:rPr>
          <w:rFonts w:cs="Arial"/>
        </w:rPr>
        <w:t xml:space="preserve">zł </w:t>
      </w:r>
      <w:r w:rsidR="00ED5B4F" w:rsidRPr="00A13A79">
        <w:rPr>
          <w:rFonts w:cs="Arial"/>
        </w:rPr>
        <w:t>netto</w:t>
      </w:r>
      <w:r w:rsidRPr="00A13A79">
        <w:rPr>
          <w:rFonts w:cs="Arial"/>
        </w:rPr>
        <w:t>.</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180B17B2"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w:t>
      </w:r>
      <w:r w:rsidR="00DB6282">
        <w:rPr>
          <w:rFonts w:ascii="Arial" w:hAnsi="Arial" w:cs="Arial"/>
          <w:b/>
          <w:sz w:val="20"/>
          <w:szCs w:val="20"/>
        </w:rPr>
        <w:t>netto</w:t>
      </w:r>
      <w:bookmarkStart w:id="1" w:name="_GoBack"/>
      <w:bookmarkEnd w:id="1"/>
      <w:r w:rsidR="00E92236" w:rsidRPr="00554340">
        <w:rPr>
          <w:rFonts w:ascii="Arial" w:hAnsi="Arial" w:cs="Arial"/>
          <w:b/>
          <w:sz w:val="20"/>
          <w:szCs w:val="20"/>
        </w:rPr>
        <w:t xml:space="preserve">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r w:rsidRPr="00554340">
        <w:rPr>
          <w:rFonts w:ascii="Arial" w:hAnsi="Arial" w:cs="Arial"/>
          <w:b/>
        </w:rPr>
        <w:t>V</w:t>
      </w:r>
      <w:r w:rsidRPr="00554340">
        <w:rPr>
          <w:rFonts w:ascii="Arial" w:hAnsi="Arial" w:cs="Arial"/>
          <w:b/>
          <w:vertAlign w:val="subscript"/>
        </w:rPr>
        <w:t xml:space="preserve">xc </w:t>
      </w:r>
      <w:r w:rsidRPr="00554340">
        <w:rPr>
          <w:rFonts w:ascii="Arial" w:hAnsi="Arial" w:cs="Arial"/>
          <w:b/>
        </w:rPr>
        <w:t>= (C</w:t>
      </w:r>
      <w:r w:rsidRPr="00554340">
        <w:rPr>
          <w:rFonts w:ascii="Arial" w:hAnsi="Arial" w:cs="Arial"/>
          <w:b/>
          <w:vertAlign w:val="subscript"/>
        </w:rPr>
        <w:t>n</w:t>
      </w:r>
      <w:r w:rsidRPr="00554340">
        <w:rPr>
          <w:rFonts w:ascii="Arial" w:hAnsi="Arial" w:cs="Arial"/>
          <w:b/>
        </w:rPr>
        <w:t xml:space="preserve"> / C</w:t>
      </w:r>
      <w:r w:rsidRPr="00554340">
        <w:rPr>
          <w:rFonts w:ascii="Arial" w:hAnsi="Arial" w:cs="Arial"/>
          <w:b/>
          <w:vertAlign w:val="subscript"/>
        </w:rPr>
        <w:t>x</w:t>
      </w:r>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0CF49FA5" w:rsidR="00E92236" w:rsidRPr="00554340" w:rsidRDefault="00E92236" w:rsidP="00E016D4">
      <w:pPr>
        <w:pStyle w:val="Zwykytekst"/>
        <w:spacing w:before="80" w:line="276" w:lineRule="auto"/>
        <w:ind w:left="357"/>
        <w:jc w:val="both"/>
        <w:rPr>
          <w:rFonts w:ascii="Arial" w:hAnsi="Arial" w:cs="Arial"/>
        </w:rPr>
      </w:pPr>
      <w:r w:rsidRPr="00554340">
        <w:rPr>
          <w:rFonts w:ascii="Arial" w:hAnsi="Arial" w:cs="Arial"/>
          <w:b/>
        </w:rPr>
        <w:t>V</w:t>
      </w:r>
      <w:r w:rsidRPr="00554340">
        <w:rPr>
          <w:rFonts w:ascii="Arial" w:hAnsi="Arial" w:cs="Arial"/>
          <w:b/>
          <w:vertAlign w:val="subscript"/>
        </w:rPr>
        <w:t>xc</w:t>
      </w:r>
      <w:r w:rsidRPr="00554340">
        <w:rPr>
          <w:rFonts w:ascii="Arial" w:hAnsi="Arial" w:cs="Arial"/>
        </w:rPr>
        <w:tab/>
        <w:t xml:space="preserve">– ilość punktów za cenę </w:t>
      </w:r>
      <w:r w:rsidR="00DB6282">
        <w:rPr>
          <w:rFonts w:ascii="Arial" w:hAnsi="Arial" w:cs="Arial"/>
        </w:rPr>
        <w:t>netto</w:t>
      </w:r>
      <w:r w:rsidRPr="00554340">
        <w:rPr>
          <w:rFonts w:ascii="Arial" w:hAnsi="Arial" w:cs="Arial"/>
        </w:rPr>
        <w:t xml:space="preserve"> oferty badanej,</w:t>
      </w:r>
    </w:p>
    <w:p w14:paraId="683EB802" w14:textId="6D571F08" w:rsidR="00E92236" w:rsidRPr="00554340" w:rsidRDefault="00E92236" w:rsidP="00E016D4">
      <w:pPr>
        <w:pStyle w:val="Zwykytekst"/>
        <w:spacing w:before="60" w:line="276" w:lineRule="auto"/>
        <w:ind w:left="357"/>
        <w:jc w:val="both"/>
        <w:rPr>
          <w:rFonts w:ascii="Arial" w:hAnsi="Arial" w:cs="Arial"/>
        </w:rPr>
      </w:pPr>
      <w:r w:rsidRPr="00554340">
        <w:rPr>
          <w:rFonts w:ascii="Arial" w:hAnsi="Arial" w:cs="Arial"/>
          <w:b/>
        </w:rPr>
        <w:t>C</w:t>
      </w:r>
      <w:r w:rsidRPr="00554340">
        <w:rPr>
          <w:rFonts w:ascii="Arial" w:hAnsi="Arial" w:cs="Arial"/>
          <w:b/>
          <w:vertAlign w:val="subscript"/>
        </w:rPr>
        <w:t>n</w:t>
      </w:r>
      <w:r w:rsidRPr="00554340">
        <w:rPr>
          <w:rFonts w:ascii="Arial" w:hAnsi="Arial" w:cs="Arial"/>
        </w:rPr>
        <w:tab/>
        <w:t xml:space="preserve">– cena </w:t>
      </w:r>
      <w:r w:rsidR="00DB6282">
        <w:rPr>
          <w:rFonts w:ascii="Arial" w:hAnsi="Arial" w:cs="Arial"/>
        </w:rPr>
        <w:t>netto</w:t>
      </w:r>
      <w:r w:rsidRPr="00554340">
        <w:rPr>
          <w:rFonts w:ascii="Arial" w:hAnsi="Arial" w:cs="Arial"/>
        </w:rPr>
        <w:t xml:space="preserve"> najniższej oferty niepodlegającej odrzuceniu,</w:t>
      </w:r>
    </w:p>
    <w:p w14:paraId="49261006" w14:textId="53CBA7E3" w:rsidR="00E92236" w:rsidRPr="00554340" w:rsidRDefault="00E92236" w:rsidP="00E016D4">
      <w:pPr>
        <w:pStyle w:val="Zwykytekst"/>
        <w:spacing w:before="60" w:after="120" w:line="276" w:lineRule="auto"/>
        <w:ind w:left="357"/>
        <w:jc w:val="both"/>
        <w:rPr>
          <w:rFonts w:ascii="Arial" w:hAnsi="Arial" w:cs="Arial"/>
        </w:rPr>
      </w:pPr>
      <w:r w:rsidRPr="00554340">
        <w:rPr>
          <w:rFonts w:ascii="Arial" w:hAnsi="Arial" w:cs="Arial"/>
          <w:b/>
        </w:rPr>
        <w:t>C</w:t>
      </w:r>
      <w:r w:rsidRPr="00554340">
        <w:rPr>
          <w:rFonts w:ascii="Arial" w:hAnsi="Arial" w:cs="Arial"/>
          <w:b/>
          <w:vertAlign w:val="subscript"/>
        </w:rPr>
        <w:t>x</w:t>
      </w:r>
      <w:r w:rsidRPr="00554340">
        <w:rPr>
          <w:rFonts w:ascii="Arial" w:hAnsi="Arial" w:cs="Arial"/>
        </w:rPr>
        <w:tab/>
        <w:t xml:space="preserve">– cena </w:t>
      </w:r>
      <w:r w:rsidR="00DB6282">
        <w:rPr>
          <w:rFonts w:ascii="Arial" w:hAnsi="Arial" w:cs="Arial"/>
        </w:rPr>
        <w:t>netto</w:t>
      </w:r>
      <w:r w:rsidRPr="00554340">
        <w:rPr>
          <w:rFonts w:ascii="Arial" w:hAnsi="Arial" w:cs="Arial"/>
        </w:rPr>
        <w:t xml:space="preserve">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44C82749"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6A86E19E"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BF6128">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można otrzymać 100 pkt. </w:t>
      </w:r>
    </w:p>
    <w:p w14:paraId="554C7DE4" w14:textId="77777777" w:rsidR="00C85788" w:rsidRPr="00554340" w:rsidRDefault="00C85788" w:rsidP="00E016D4">
      <w:pPr>
        <w:spacing w:line="276" w:lineRule="auto"/>
        <w:rPr>
          <w:rFonts w:cs="Arial"/>
        </w:rPr>
      </w:pPr>
    </w:p>
    <w:p w14:paraId="7286886A"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Informacje o sposobie porozumiewania się Zamawiającego z Wykonawcami.</w:t>
      </w:r>
    </w:p>
    <w:p w14:paraId="721E922D" w14:textId="1BA37BFD" w:rsidR="00C85788" w:rsidRPr="00554340" w:rsidRDefault="00C85788" w:rsidP="00E016D4">
      <w:pPr>
        <w:pStyle w:val="Akapitzlist"/>
        <w:spacing w:line="276" w:lineRule="auto"/>
        <w:ind w:left="567" w:hanging="283"/>
        <w:rPr>
          <w:rFonts w:cs="Arial"/>
        </w:rPr>
      </w:pPr>
      <w:r w:rsidRPr="00554340">
        <w:rPr>
          <w:rFonts w:cs="Arial"/>
        </w:rPr>
        <w:t xml:space="preserve">1. Postępowanie prowadzone jest w języku polskim. Oświadczenia, wnioski, zawiadomienia oraz informacje Zamawiający i Wykonawcy przekazują pisemnie lub za pośrednictwem poczty elektronicznej, na adres: </w:t>
      </w:r>
      <w:hyperlink r:id="rId9" w:history="1">
        <w:r w:rsidR="00F84E53" w:rsidRPr="00554340">
          <w:rPr>
            <w:rStyle w:val="Hipercze"/>
            <w:rFonts w:cs="Arial"/>
          </w:rPr>
          <w:t>zamowienia_publiczne@pwm.com.pl</w:t>
        </w:r>
      </w:hyperlink>
    </w:p>
    <w:p w14:paraId="49FBA862" w14:textId="77777777" w:rsidR="005D1527" w:rsidRPr="00554340" w:rsidRDefault="005D1527" w:rsidP="00E016D4">
      <w:pPr>
        <w:spacing w:line="276" w:lineRule="auto"/>
        <w:rPr>
          <w:rFonts w:cs="Arial"/>
        </w:rPr>
      </w:pPr>
    </w:p>
    <w:p w14:paraId="416039E0" w14:textId="77777777" w:rsidR="00DA19D4" w:rsidRPr="00D20CCB" w:rsidRDefault="00DA19D4" w:rsidP="00DA19D4">
      <w:pPr>
        <w:pStyle w:val="Akapitzlist"/>
        <w:numPr>
          <w:ilvl w:val="0"/>
          <w:numId w:val="23"/>
        </w:numPr>
        <w:suppressAutoHyphens/>
        <w:spacing w:before="0" w:line="276" w:lineRule="auto"/>
        <w:ind w:left="284" w:hanging="284"/>
        <w:contextualSpacing w:val="0"/>
        <w:textAlignment w:val="baseline"/>
        <w:rPr>
          <w:rFonts w:cs="Arial"/>
          <w:b/>
          <w:bCs/>
        </w:rPr>
      </w:pPr>
      <w:r w:rsidRPr="00D20CCB">
        <w:rPr>
          <w:rFonts w:cs="Arial"/>
          <w:b/>
          <w:bCs/>
        </w:rPr>
        <w:t>Informacje dodatkowe</w:t>
      </w:r>
    </w:p>
    <w:p w14:paraId="23990F22" w14:textId="77777777" w:rsidR="00DA19D4" w:rsidRPr="008459C3" w:rsidRDefault="00DA19D4" w:rsidP="00DA19D4">
      <w:pPr>
        <w:pStyle w:val="Akapitzlist"/>
        <w:spacing w:before="0" w:after="0" w:line="360" w:lineRule="auto"/>
        <w:ind w:left="426"/>
        <w:rPr>
          <w:rFonts w:cs="Arial"/>
        </w:rPr>
      </w:pPr>
      <w:r w:rsidRPr="008459C3">
        <w:rPr>
          <w:rFonts w:cs="Arial"/>
        </w:rPr>
        <w:t>a) Postępowanie o udzielenie zamówienia nie podlega przepisom ustawy z dnia 29 stycznia 2004 r. Prawo zamówień publicznych (t.j. Dz. U. 2019 poz.1843).</w:t>
      </w:r>
    </w:p>
    <w:p w14:paraId="41E64D24" w14:textId="77777777" w:rsidR="00DA19D4" w:rsidRPr="008459C3" w:rsidRDefault="00DA19D4" w:rsidP="00DA19D4">
      <w:pPr>
        <w:spacing w:before="0" w:after="0" w:line="360" w:lineRule="auto"/>
        <w:ind w:left="426"/>
        <w:rPr>
          <w:rFonts w:cs="Arial"/>
        </w:rPr>
      </w:pPr>
      <w:r w:rsidRPr="008459C3">
        <w:rPr>
          <w:rFonts w:cs="Arial"/>
        </w:rPr>
        <w:t>b)</w:t>
      </w:r>
      <w:r w:rsidRPr="008459C3">
        <w:rPr>
          <w:rFonts w:cs="Arial"/>
        </w:rPr>
        <w:tab/>
        <w:t xml:space="preserve">Postępowanie prowadzone jest w języku polskim. Oświadczenia, wnioski, zawiadomienia oraz informacje Zamawiający i Wykonawcy przekazują pisemnie lub za pośrednictwem poczty elektronicznej, na adres: </w:t>
      </w:r>
      <w:hyperlink r:id="rId10" w:history="1">
        <w:r w:rsidRPr="008459C3">
          <w:rPr>
            <w:rStyle w:val="Hipercze"/>
            <w:rFonts w:cs="Arial"/>
          </w:rPr>
          <w:t>zamowienia_publiczne@pwm.com.pl</w:t>
        </w:r>
      </w:hyperlink>
    </w:p>
    <w:p w14:paraId="3B2A23FD" w14:textId="77777777" w:rsidR="00DA19D4" w:rsidRPr="008459C3" w:rsidRDefault="00DA19D4" w:rsidP="00DA19D4">
      <w:pPr>
        <w:spacing w:before="0" w:after="0" w:line="360" w:lineRule="auto"/>
        <w:ind w:left="426"/>
        <w:rPr>
          <w:rFonts w:cs="Arial"/>
        </w:rPr>
      </w:pPr>
      <w:r w:rsidRPr="008459C3">
        <w:rPr>
          <w:rFonts w:cs="Arial"/>
        </w:rPr>
        <w:t>c)</w:t>
      </w:r>
      <w:r w:rsidRPr="008459C3">
        <w:rPr>
          <w:rFonts w:cs="Arial"/>
        </w:rPr>
        <w:tab/>
        <w:t>Oferta Wykonawcy podlega odrzuceniu, jeżeli:</w:t>
      </w:r>
    </w:p>
    <w:p w14:paraId="5AB36671" w14:textId="77777777" w:rsidR="00DA19D4" w:rsidRPr="008459C3" w:rsidRDefault="00DA19D4" w:rsidP="00DA19D4">
      <w:pPr>
        <w:spacing w:before="0" w:after="0" w:line="360" w:lineRule="auto"/>
        <w:ind w:left="1134"/>
        <w:rPr>
          <w:rFonts w:cs="Arial"/>
        </w:rPr>
      </w:pPr>
      <w:r w:rsidRPr="008459C3">
        <w:rPr>
          <w:rFonts w:cs="Arial"/>
        </w:rPr>
        <w:lastRenderedPageBreak/>
        <w:t>•</w:t>
      </w:r>
      <w:r w:rsidRPr="008459C3">
        <w:rPr>
          <w:rFonts w:cs="Arial"/>
        </w:rPr>
        <w:tab/>
        <w:t xml:space="preserve">Oferta </w:t>
      </w:r>
      <w:bookmarkStart w:id="2" w:name="_Hlk36725502"/>
      <w:r w:rsidRPr="008459C3">
        <w:rPr>
          <w:rFonts w:cs="Arial"/>
        </w:rPr>
        <w:t xml:space="preserve">nie odpowiada wymaganiom określonym przez Zamawiającego, </w:t>
      </w:r>
      <w:bookmarkEnd w:id="2"/>
      <w:r w:rsidRPr="008459C3">
        <w:rPr>
          <w:rFonts w:cs="Arial"/>
        </w:rPr>
        <w:t>w tym Wykonawca nie spełnia warunków udziału w postępowaniu lub innych wymagań określonych przez Zamawiającego,</w:t>
      </w:r>
    </w:p>
    <w:p w14:paraId="2F6DEC78"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Oferta Wykonawcy zawiera rażąco niską cenę wykonania przedmiotu zamówienia,</w:t>
      </w:r>
    </w:p>
    <w:p w14:paraId="27159542"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Oferta Wykonawcy jest nieważna na gruncie obowiązujących przepisów prawa,</w:t>
      </w:r>
    </w:p>
    <w:p w14:paraId="020BBA68"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Wykonawca nie wyraził zgody na poprawienie innych omyłek w Ofercie w terminie wyznaczonym przez Zamawiającego,</w:t>
      </w:r>
    </w:p>
    <w:p w14:paraId="16FAC874" w14:textId="77777777" w:rsidR="00DA19D4" w:rsidRDefault="00DA19D4" w:rsidP="00DA19D4">
      <w:pPr>
        <w:spacing w:before="0" w:after="0" w:line="360" w:lineRule="auto"/>
        <w:ind w:left="1134"/>
        <w:rPr>
          <w:rFonts w:cs="Arial"/>
        </w:rPr>
      </w:pPr>
      <w:r w:rsidRPr="008459C3">
        <w:rPr>
          <w:rFonts w:cs="Arial"/>
        </w:rPr>
        <w:t>•</w:t>
      </w:r>
      <w:r w:rsidRPr="008459C3">
        <w:rPr>
          <w:rFonts w:cs="Arial"/>
        </w:rPr>
        <w:tab/>
        <w:t>Wykonawca nie uzupełnił lub nie złożył wyjaśnień dotyczących jego Oferty na wezwanie Zamawiającego,</w:t>
      </w:r>
    </w:p>
    <w:p w14:paraId="2DE8C51D"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r>
      <w:r>
        <w:rPr>
          <w:rFonts w:cs="Arial"/>
        </w:rPr>
        <w:t xml:space="preserve">Wykonawca </w:t>
      </w:r>
      <w:r w:rsidRPr="00E60B69">
        <w:rPr>
          <w:rFonts w:cs="Arial"/>
        </w:rPr>
        <w:t>nie wykonał albo nienależycie wykonał w istotnym stopniu wcześniejszą umowę w sprawie zamówienia publicznego, zawartą z Zamawiającym, w okresie ostatnich 3 lat.</w:t>
      </w:r>
    </w:p>
    <w:p w14:paraId="55DEB224" w14:textId="77777777" w:rsidR="00DA19D4" w:rsidRPr="008459C3" w:rsidRDefault="00DA19D4" w:rsidP="00DA19D4">
      <w:pPr>
        <w:spacing w:before="0" w:after="0" w:line="360" w:lineRule="auto"/>
        <w:ind w:left="426"/>
        <w:rPr>
          <w:rFonts w:cs="Arial"/>
        </w:rPr>
      </w:pPr>
      <w:r w:rsidRPr="008459C3">
        <w:rPr>
          <w:rFonts w:cs="Arial"/>
        </w:rPr>
        <w:t>d)</w:t>
      </w:r>
      <w:r w:rsidRPr="008459C3">
        <w:rPr>
          <w:rFonts w:cs="Arial"/>
        </w:rPr>
        <w:tab/>
        <w:t>Zamawiający zastrzega sobie prawo zmiany niniejszego zapytania, a także unieważnienia postępowania bez wyłonienia Wykonawcy i bez podawania przyczyn. Postępowanie może zostać unieważnione w szczególności w przypadku, gdy:</w:t>
      </w:r>
    </w:p>
    <w:p w14:paraId="5B64E94A"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 xml:space="preserve">W Postępowaniu w nie złożono żadnej Oferty lub wszystkie Oferty podlegają odrzuceniu, </w:t>
      </w:r>
    </w:p>
    <w:p w14:paraId="4956B065"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1DB9FDD7"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Postępowanie jest dotknięte wadą lub błędem.</w:t>
      </w:r>
    </w:p>
    <w:p w14:paraId="034BF135" w14:textId="77777777" w:rsidR="00DA19D4" w:rsidRPr="008459C3" w:rsidRDefault="00DA19D4" w:rsidP="00DA19D4">
      <w:pPr>
        <w:spacing w:before="0" w:after="0" w:line="360" w:lineRule="auto"/>
        <w:ind w:left="426" w:firstLine="708"/>
        <w:rPr>
          <w:rFonts w:cs="Arial"/>
        </w:rPr>
      </w:pPr>
      <w:r w:rsidRPr="008459C3">
        <w:rPr>
          <w:rFonts w:cs="Arial"/>
        </w:rPr>
        <w:t>•</w:t>
      </w:r>
      <w:r w:rsidRPr="008459C3">
        <w:rPr>
          <w:rFonts w:cs="Arial"/>
        </w:rPr>
        <w:tab/>
        <w:t>Udzielenie zamówienia na oferowanych warunkach nie leży w interesie PWM.</w:t>
      </w:r>
    </w:p>
    <w:p w14:paraId="13713867" w14:textId="77777777" w:rsidR="00DA19D4" w:rsidRPr="008459C3" w:rsidRDefault="00DA19D4" w:rsidP="00DA19D4">
      <w:pPr>
        <w:spacing w:before="0" w:after="0" w:line="360" w:lineRule="auto"/>
        <w:ind w:left="1134"/>
        <w:rPr>
          <w:rFonts w:cs="Arial"/>
        </w:rPr>
      </w:pPr>
      <w:r w:rsidRPr="008459C3">
        <w:rPr>
          <w:rFonts w:cs="Arial"/>
        </w:rPr>
        <w:t>•</w:t>
      </w:r>
      <w:r w:rsidRPr="008459C3">
        <w:rPr>
          <w:rFonts w:cs="Arial"/>
        </w:rPr>
        <w:tab/>
        <w:t>Wystąpiła istotna zmiana okoliczności powodująca, że prowadzenie postępowania lub wykonanie zamówienia nie leży w interesie PWM, czego nie można było wcześniej przewidzieć;</w:t>
      </w:r>
    </w:p>
    <w:p w14:paraId="798D7918" w14:textId="77777777" w:rsidR="00DA19D4" w:rsidRPr="008459C3" w:rsidRDefault="00DA19D4" w:rsidP="00DA19D4">
      <w:pPr>
        <w:spacing w:before="0" w:after="0" w:line="360" w:lineRule="auto"/>
        <w:ind w:left="426"/>
        <w:rPr>
          <w:rFonts w:cs="Arial"/>
        </w:rPr>
      </w:pPr>
      <w:r w:rsidRPr="008459C3">
        <w:rPr>
          <w:rFonts w:cs="Arial"/>
        </w:rPr>
        <w:t>e)</w:t>
      </w:r>
      <w:r w:rsidRPr="008459C3">
        <w:rPr>
          <w:rFonts w:cs="Arial"/>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436B8EF8" w14:textId="77777777" w:rsidR="00DA19D4" w:rsidRPr="008459C3" w:rsidRDefault="00DA19D4" w:rsidP="00DA19D4">
      <w:pPr>
        <w:spacing w:before="0" w:after="0" w:line="360" w:lineRule="auto"/>
        <w:ind w:left="426"/>
        <w:rPr>
          <w:rFonts w:cs="Arial"/>
        </w:rPr>
      </w:pPr>
      <w:r w:rsidRPr="008459C3">
        <w:rPr>
          <w:rFonts w:cs="Arial"/>
        </w:rPr>
        <w:t>f)</w:t>
      </w:r>
      <w:r w:rsidRPr="008459C3">
        <w:rPr>
          <w:rFonts w:cs="Arial"/>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058A6AC" w14:textId="77777777" w:rsidR="00DA19D4" w:rsidRPr="008459C3" w:rsidRDefault="00DA19D4" w:rsidP="00DA19D4">
      <w:pPr>
        <w:spacing w:before="0" w:after="0" w:line="360" w:lineRule="auto"/>
        <w:ind w:left="426"/>
        <w:rPr>
          <w:rFonts w:cs="Arial"/>
        </w:rPr>
      </w:pPr>
      <w:r w:rsidRPr="008459C3">
        <w:rPr>
          <w:rFonts w:cs="Arial"/>
        </w:rPr>
        <w:t>g)</w:t>
      </w:r>
      <w:r w:rsidRPr="008459C3">
        <w:rPr>
          <w:rFonts w:cs="Arial"/>
        </w:rPr>
        <w:tab/>
        <w:t>Zamawiający skontaktuje się z wybranym Wykonawcą i poinformuje drogą mailową o wyborze oferty. Ponadto wybór danego Wykonawcy zostanie ogłoszony na stronie internetowej Zamawiającego.</w:t>
      </w:r>
    </w:p>
    <w:p w14:paraId="33FEE183" w14:textId="77777777" w:rsidR="00DA19D4" w:rsidRPr="008459C3" w:rsidRDefault="00DA19D4" w:rsidP="00DA19D4">
      <w:pPr>
        <w:spacing w:before="0" w:after="0" w:line="360" w:lineRule="auto"/>
        <w:ind w:left="426"/>
        <w:rPr>
          <w:rFonts w:cs="Arial"/>
        </w:rPr>
      </w:pPr>
      <w:r w:rsidRPr="008459C3">
        <w:rPr>
          <w:rFonts w:cs="Arial"/>
        </w:rPr>
        <w:t>h) Zamawiający może najpierw dokonać oceny ofert, a następnie zbadać, czy oferta Wykonawcy, którego oferta została oceniona jako najkorzystniejsza, nie podlega wykluczeniu oraz spełnia warunki udziału w postępowaniu.</w:t>
      </w:r>
    </w:p>
    <w:p w14:paraId="541E2DF0" w14:textId="77777777" w:rsidR="00DA19D4" w:rsidRPr="008459C3" w:rsidRDefault="00DA19D4" w:rsidP="00DA19D4">
      <w:pPr>
        <w:spacing w:before="0" w:after="0" w:line="360" w:lineRule="auto"/>
        <w:ind w:left="426"/>
        <w:rPr>
          <w:rFonts w:cs="Arial"/>
        </w:rPr>
      </w:pPr>
      <w:r w:rsidRPr="008459C3">
        <w:rPr>
          <w:rFonts w:cs="Arial"/>
        </w:rPr>
        <w:lastRenderedPageBreak/>
        <w:t>k)</w:t>
      </w:r>
      <w:r w:rsidRPr="008459C3">
        <w:rPr>
          <w:rFonts w:cs="Arial"/>
        </w:rPr>
        <w:tab/>
        <w:t xml:space="preserve">Wykonawca może zwrócić się do Zamawiającego z wnioskiem o udzielenie wyjaśnień </w:t>
      </w:r>
    </w:p>
    <w:p w14:paraId="2617BA01" w14:textId="3B6E508A" w:rsidR="00C85788" w:rsidRPr="00DA19D4" w:rsidRDefault="00DA19D4" w:rsidP="00DA19D4">
      <w:pPr>
        <w:spacing w:before="0" w:after="0" w:line="360" w:lineRule="auto"/>
        <w:ind w:left="426"/>
        <w:rPr>
          <w:rFonts w:cs="Arial"/>
        </w:rPr>
      </w:pPr>
      <w:r w:rsidRPr="008459C3">
        <w:rPr>
          <w:rFonts w:cs="Arial"/>
        </w:rPr>
        <w:t xml:space="preserve">w kwestiach merytoryki i procedury w formie elektronicznej na adres: </w:t>
      </w:r>
      <w:hyperlink r:id="rId11" w:history="1">
        <w:r w:rsidRPr="008459C3">
          <w:rPr>
            <w:rStyle w:val="Hipercze"/>
            <w:rFonts w:cs="Arial"/>
          </w:rPr>
          <w:t>zamowienia_publiczne@pwm.com.pl</w:t>
        </w:r>
      </w:hyperlink>
    </w:p>
    <w:p w14:paraId="774790DA" w14:textId="2354CA12" w:rsidR="00D22588" w:rsidRPr="00554340" w:rsidRDefault="00D22588" w:rsidP="00E016D4">
      <w:pPr>
        <w:pStyle w:val="Akapitzlist"/>
        <w:spacing w:line="276" w:lineRule="auto"/>
        <w:ind w:left="284"/>
        <w:rPr>
          <w:rFonts w:cs="Arial"/>
          <w:bCs/>
        </w:rPr>
      </w:pPr>
    </w:p>
    <w:p w14:paraId="06D8ECCF" w14:textId="77777777" w:rsidR="00366280" w:rsidRPr="00554340" w:rsidRDefault="00366280"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t>Klauzula informacyjna w zakresie przetwarzania danych osobowych</w:t>
      </w:r>
    </w:p>
    <w:p w14:paraId="4A4A12F7" w14:textId="69C4BA12"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A0CDA">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EE09" w14:textId="77777777" w:rsidR="00CD5B18" w:rsidRDefault="00CD5B18" w:rsidP="00C74CB9">
      <w:pPr>
        <w:spacing w:before="0" w:after="0" w:line="240" w:lineRule="auto"/>
      </w:pPr>
      <w:r>
        <w:separator/>
      </w:r>
    </w:p>
  </w:endnote>
  <w:endnote w:type="continuationSeparator" w:id="0">
    <w:p w14:paraId="003DF4B0" w14:textId="77777777" w:rsidR="00CD5B18" w:rsidRDefault="00CD5B18"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00DB6282" w:rsidRPr="00DB6282">
          <w:rPr>
            <w:rFonts w:asciiTheme="majorHAnsi" w:eastAsiaTheme="majorEastAsia" w:hAnsiTheme="majorHAnsi" w:cstheme="majorBidi"/>
            <w:noProof/>
            <w:sz w:val="18"/>
            <w:szCs w:val="28"/>
          </w:rPr>
          <w:t>3</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8B60A" w14:textId="77777777" w:rsidR="00CD5B18" w:rsidRDefault="00CD5B18" w:rsidP="00C74CB9">
      <w:pPr>
        <w:spacing w:before="0" w:after="0" w:line="240" w:lineRule="auto"/>
      </w:pPr>
      <w:r>
        <w:separator/>
      </w:r>
    </w:p>
  </w:footnote>
  <w:footnote w:type="continuationSeparator" w:id="0">
    <w:p w14:paraId="5BF80B65" w14:textId="77777777" w:rsidR="00CD5B18" w:rsidRDefault="00CD5B18" w:rsidP="00C74C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B9"/>
    <w:rsid w:val="00013F88"/>
    <w:rsid w:val="00022E66"/>
    <w:rsid w:val="0002796F"/>
    <w:rsid w:val="00072F87"/>
    <w:rsid w:val="00074259"/>
    <w:rsid w:val="00084918"/>
    <w:rsid w:val="000B7A3B"/>
    <w:rsid w:val="00121F99"/>
    <w:rsid w:val="0012729E"/>
    <w:rsid w:val="00127A6C"/>
    <w:rsid w:val="001408D4"/>
    <w:rsid w:val="00144058"/>
    <w:rsid w:val="0015449E"/>
    <w:rsid w:val="00172507"/>
    <w:rsid w:val="0018051C"/>
    <w:rsid w:val="001923B7"/>
    <w:rsid w:val="001A06F1"/>
    <w:rsid w:val="001A0CDA"/>
    <w:rsid w:val="001C4D5F"/>
    <w:rsid w:val="001C682B"/>
    <w:rsid w:val="001D56D6"/>
    <w:rsid w:val="001E5E0C"/>
    <w:rsid w:val="00214344"/>
    <w:rsid w:val="00225F07"/>
    <w:rsid w:val="00231547"/>
    <w:rsid w:val="00247EB1"/>
    <w:rsid w:val="002518B2"/>
    <w:rsid w:val="00253C50"/>
    <w:rsid w:val="002558E5"/>
    <w:rsid w:val="00262396"/>
    <w:rsid w:val="00285EF7"/>
    <w:rsid w:val="0028682E"/>
    <w:rsid w:val="00294CA5"/>
    <w:rsid w:val="00296BDF"/>
    <w:rsid w:val="002B6EA6"/>
    <w:rsid w:val="002D7DA1"/>
    <w:rsid w:val="002E06B3"/>
    <w:rsid w:val="002E3181"/>
    <w:rsid w:val="003017DF"/>
    <w:rsid w:val="003252DE"/>
    <w:rsid w:val="00336895"/>
    <w:rsid w:val="003660E3"/>
    <w:rsid w:val="00366280"/>
    <w:rsid w:val="00371990"/>
    <w:rsid w:val="003751B0"/>
    <w:rsid w:val="00380913"/>
    <w:rsid w:val="00383A29"/>
    <w:rsid w:val="003972D6"/>
    <w:rsid w:val="003C20D0"/>
    <w:rsid w:val="003D75B7"/>
    <w:rsid w:val="003E2E22"/>
    <w:rsid w:val="00411240"/>
    <w:rsid w:val="004372A8"/>
    <w:rsid w:val="0047095C"/>
    <w:rsid w:val="004F03DF"/>
    <w:rsid w:val="004F1B35"/>
    <w:rsid w:val="00502711"/>
    <w:rsid w:val="00505026"/>
    <w:rsid w:val="00511523"/>
    <w:rsid w:val="00520DBC"/>
    <w:rsid w:val="00523795"/>
    <w:rsid w:val="00524F8E"/>
    <w:rsid w:val="005454CD"/>
    <w:rsid w:val="005467E0"/>
    <w:rsid w:val="00553095"/>
    <w:rsid w:val="00554340"/>
    <w:rsid w:val="00570B68"/>
    <w:rsid w:val="0057615C"/>
    <w:rsid w:val="00576F52"/>
    <w:rsid w:val="00587B4C"/>
    <w:rsid w:val="005D1527"/>
    <w:rsid w:val="005F0CB0"/>
    <w:rsid w:val="005F72E6"/>
    <w:rsid w:val="006112AD"/>
    <w:rsid w:val="00635350"/>
    <w:rsid w:val="0065290F"/>
    <w:rsid w:val="00663FB3"/>
    <w:rsid w:val="00664A4A"/>
    <w:rsid w:val="00667643"/>
    <w:rsid w:val="0068194C"/>
    <w:rsid w:val="00686FE9"/>
    <w:rsid w:val="0069018B"/>
    <w:rsid w:val="006A5347"/>
    <w:rsid w:val="006C65C8"/>
    <w:rsid w:val="006C6D11"/>
    <w:rsid w:val="006C7430"/>
    <w:rsid w:val="006D1AF1"/>
    <w:rsid w:val="006D417E"/>
    <w:rsid w:val="006E7DE2"/>
    <w:rsid w:val="00704121"/>
    <w:rsid w:val="00713F7D"/>
    <w:rsid w:val="00732310"/>
    <w:rsid w:val="00735905"/>
    <w:rsid w:val="007412E2"/>
    <w:rsid w:val="007519AD"/>
    <w:rsid w:val="0075224A"/>
    <w:rsid w:val="00764DD9"/>
    <w:rsid w:val="00765C9C"/>
    <w:rsid w:val="00773DBF"/>
    <w:rsid w:val="00786C95"/>
    <w:rsid w:val="007A0A60"/>
    <w:rsid w:val="007C0AD8"/>
    <w:rsid w:val="007C30FE"/>
    <w:rsid w:val="007C54CA"/>
    <w:rsid w:val="007D2A92"/>
    <w:rsid w:val="007D3D75"/>
    <w:rsid w:val="007E52C4"/>
    <w:rsid w:val="00806749"/>
    <w:rsid w:val="00825EA0"/>
    <w:rsid w:val="00841809"/>
    <w:rsid w:val="00850E50"/>
    <w:rsid w:val="00892DE2"/>
    <w:rsid w:val="00897458"/>
    <w:rsid w:val="008A475F"/>
    <w:rsid w:val="008D406D"/>
    <w:rsid w:val="008E019E"/>
    <w:rsid w:val="009110F6"/>
    <w:rsid w:val="00934CBA"/>
    <w:rsid w:val="00951215"/>
    <w:rsid w:val="00966100"/>
    <w:rsid w:val="00970DD1"/>
    <w:rsid w:val="00975F7C"/>
    <w:rsid w:val="00982C30"/>
    <w:rsid w:val="0099358E"/>
    <w:rsid w:val="009C41CF"/>
    <w:rsid w:val="009D1393"/>
    <w:rsid w:val="009F5B18"/>
    <w:rsid w:val="009F6B0F"/>
    <w:rsid w:val="00A02B9E"/>
    <w:rsid w:val="00A04820"/>
    <w:rsid w:val="00A13A79"/>
    <w:rsid w:val="00A35C38"/>
    <w:rsid w:val="00A55561"/>
    <w:rsid w:val="00A84A9F"/>
    <w:rsid w:val="00A86F94"/>
    <w:rsid w:val="00A955EB"/>
    <w:rsid w:val="00AA1407"/>
    <w:rsid w:val="00AA46CA"/>
    <w:rsid w:val="00AB14E5"/>
    <w:rsid w:val="00AB58B5"/>
    <w:rsid w:val="00AB6C6F"/>
    <w:rsid w:val="00AD3A78"/>
    <w:rsid w:val="00B11494"/>
    <w:rsid w:val="00B32AE4"/>
    <w:rsid w:val="00B46A54"/>
    <w:rsid w:val="00B46D8B"/>
    <w:rsid w:val="00B57B2C"/>
    <w:rsid w:val="00B700AF"/>
    <w:rsid w:val="00BC5EF4"/>
    <w:rsid w:val="00BD37FA"/>
    <w:rsid w:val="00BF6128"/>
    <w:rsid w:val="00C20A66"/>
    <w:rsid w:val="00C22E1D"/>
    <w:rsid w:val="00C25185"/>
    <w:rsid w:val="00C336F0"/>
    <w:rsid w:val="00C7091B"/>
    <w:rsid w:val="00C74CB9"/>
    <w:rsid w:val="00C85788"/>
    <w:rsid w:val="00CB15B8"/>
    <w:rsid w:val="00CD0C5A"/>
    <w:rsid w:val="00CD5B18"/>
    <w:rsid w:val="00CE09E1"/>
    <w:rsid w:val="00CE506C"/>
    <w:rsid w:val="00CF0DDE"/>
    <w:rsid w:val="00D02C8A"/>
    <w:rsid w:val="00D15E96"/>
    <w:rsid w:val="00D21CE2"/>
    <w:rsid w:val="00D22588"/>
    <w:rsid w:val="00D321D3"/>
    <w:rsid w:val="00D444E0"/>
    <w:rsid w:val="00D46409"/>
    <w:rsid w:val="00D63A33"/>
    <w:rsid w:val="00D67D7B"/>
    <w:rsid w:val="00D770AD"/>
    <w:rsid w:val="00DA19D4"/>
    <w:rsid w:val="00DA4465"/>
    <w:rsid w:val="00DB0F25"/>
    <w:rsid w:val="00DB6282"/>
    <w:rsid w:val="00DC240A"/>
    <w:rsid w:val="00DD0178"/>
    <w:rsid w:val="00E016D4"/>
    <w:rsid w:val="00E21D2A"/>
    <w:rsid w:val="00E859AA"/>
    <w:rsid w:val="00E92236"/>
    <w:rsid w:val="00EA3132"/>
    <w:rsid w:val="00EA3C67"/>
    <w:rsid w:val="00EA666D"/>
    <w:rsid w:val="00EB2426"/>
    <w:rsid w:val="00EB395B"/>
    <w:rsid w:val="00EC611F"/>
    <w:rsid w:val="00ED3F37"/>
    <w:rsid w:val="00ED5B4F"/>
    <w:rsid w:val="00ED6653"/>
    <w:rsid w:val="00EE4107"/>
    <w:rsid w:val="00EE4159"/>
    <w:rsid w:val="00EE6777"/>
    <w:rsid w:val="00EF4A3D"/>
    <w:rsid w:val="00EF5AEB"/>
    <w:rsid w:val="00EF724C"/>
    <w:rsid w:val="00F10C07"/>
    <w:rsid w:val="00F3254B"/>
    <w:rsid w:val="00F51E73"/>
    <w:rsid w:val="00F65B35"/>
    <w:rsid w:val="00F65D83"/>
    <w:rsid w:val="00F73B1C"/>
    <w:rsid w:val="00F84E53"/>
    <w:rsid w:val="00FA37A7"/>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aliases w:val="L1"/>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aliases w:val="L1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customStyle="1" w:styleId="UnresolvedMention">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AAD8-592E-4C81-92AF-E1C6FF92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1721</Words>
  <Characters>10327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Lucyna Kinecka</cp:lastModifiedBy>
  <cp:revision>16</cp:revision>
  <cp:lastPrinted>2017-12-05T12:56:00Z</cp:lastPrinted>
  <dcterms:created xsi:type="dcterms:W3CDTF">2020-09-07T13:11:00Z</dcterms:created>
  <dcterms:modified xsi:type="dcterms:W3CDTF">2020-09-14T12:17:00Z</dcterms:modified>
</cp:coreProperties>
</file>